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D03" w:rsidRPr="00F05D03" w:rsidRDefault="00F05D03" w:rsidP="00D25157">
      <w:pPr>
        <w:rPr>
          <w:rFonts w:ascii="Century Gothic" w:hAnsi="Century Gothic"/>
          <w:color w:val="800000"/>
          <w:sz w:val="32"/>
          <w:lang w:val="it-IT"/>
        </w:rPr>
      </w:pPr>
    </w:p>
    <w:p w:rsidR="00711F57" w:rsidRDefault="00711F57" w:rsidP="00711F57">
      <w:pPr>
        <w:tabs>
          <w:tab w:val="left" w:pos="5622"/>
        </w:tabs>
        <w:rPr>
          <w:rFonts w:ascii="Century Gothic" w:hAnsi="Century Gothic"/>
          <w:color w:val="800000"/>
          <w:sz w:val="32"/>
          <w:lang w:val="it-IT"/>
        </w:rPr>
      </w:pPr>
      <w:r>
        <w:rPr>
          <w:rFonts w:ascii="Century Gothic" w:hAnsi="Century Gothic"/>
          <w:color w:val="800000"/>
          <w:sz w:val="32"/>
          <w:lang w:val="it-IT"/>
        </w:rPr>
        <w:tab/>
      </w:r>
    </w:p>
    <w:p w:rsidR="00102937" w:rsidRDefault="00102937" w:rsidP="00D25157">
      <w:pPr>
        <w:rPr>
          <w:rFonts w:ascii="Century Gothic" w:hAnsi="Century Gothic"/>
          <w:color w:val="000000" w:themeColor="text1"/>
          <w:sz w:val="32"/>
          <w:u w:val="single"/>
          <w:lang w:val="it-IT"/>
        </w:rPr>
      </w:pPr>
    </w:p>
    <w:p w:rsidR="00D25157" w:rsidRPr="00711F57" w:rsidRDefault="00D25157" w:rsidP="00D25157">
      <w:pPr>
        <w:rPr>
          <w:rFonts w:ascii="Century Gothic" w:hAnsi="Century Gothic"/>
          <w:color w:val="000000" w:themeColor="text1"/>
          <w:u w:val="single"/>
          <w:lang w:val="it-IT"/>
        </w:rPr>
      </w:pPr>
      <w:r w:rsidRPr="00711F57">
        <w:rPr>
          <w:rFonts w:ascii="Century Gothic" w:hAnsi="Century Gothic"/>
          <w:color w:val="000000" w:themeColor="text1"/>
          <w:sz w:val="32"/>
          <w:u w:val="single"/>
          <w:lang w:val="it-IT"/>
        </w:rPr>
        <w:t>Osservatorio Atopia</w:t>
      </w:r>
      <w:r w:rsidRPr="00711F57">
        <w:rPr>
          <w:rFonts w:ascii="Century Gothic" w:hAnsi="Century Gothic"/>
          <w:color w:val="000000" w:themeColor="text1"/>
          <w:u w:val="single"/>
          <w:lang w:val="it-IT"/>
        </w:rPr>
        <w:t xml:space="preserve"> </w:t>
      </w:r>
    </w:p>
    <w:p w:rsidR="00102937" w:rsidRDefault="00102937" w:rsidP="00D25157">
      <w:pPr>
        <w:rPr>
          <w:rFonts w:ascii="Century Gothic" w:hAnsi="Century Gothic"/>
          <w:lang w:val="it-IT"/>
        </w:rPr>
      </w:pPr>
    </w:p>
    <w:p w:rsidR="00D25157" w:rsidRPr="00D25157" w:rsidRDefault="00D25157" w:rsidP="00D25157">
      <w:pPr>
        <w:rPr>
          <w:rFonts w:asciiTheme="minorHAnsi" w:hAnsiTheme="minorHAnsi"/>
          <w:sz w:val="22"/>
          <w:lang w:val="it-IT"/>
        </w:rPr>
      </w:pPr>
      <w:r w:rsidRPr="00D25157">
        <w:rPr>
          <w:rFonts w:asciiTheme="minorHAnsi" w:hAnsiTheme="minorHAnsi"/>
          <w:b/>
          <w:bCs/>
          <w:sz w:val="22"/>
          <w:lang w:val="it-IT"/>
        </w:rPr>
        <w:t>L’Osservatorio Atopia</w:t>
      </w:r>
      <w:r w:rsidRPr="00D25157">
        <w:rPr>
          <w:rFonts w:asciiTheme="minorHAnsi" w:hAnsiTheme="minorHAnsi"/>
          <w:sz w:val="22"/>
          <w:lang w:val="it-IT"/>
        </w:rPr>
        <w:t xml:space="preserve"> è un gruppo di lavoro permanente formato da un team multidisciplinare </w:t>
      </w:r>
      <w:r w:rsidR="003C7743">
        <w:rPr>
          <w:rFonts w:asciiTheme="minorHAnsi" w:hAnsiTheme="minorHAnsi"/>
          <w:sz w:val="22"/>
          <w:lang w:val="it-IT"/>
        </w:rPr>
        <w:t xml:space="preserve">composto da clinici, istituzioni e dai rappresentanti delle associazioni pazienti </w:t>
      </w:r>
      <w:proofErr w:type="spellStart"/>
      <w:r w:rsidR="003C7743" w:rsidRPr="003C7743">
        <w:rPr>
          <w:rFonts w:asciiTheme="minorHAnsi" w:hAnsiTheme="minorHAnsi"/>
          <w:i/>
          <w:sz w:val="22"/>
          <w:lang w:val="it-IT"/>
        </w:rPr>
        <w:t>A</w:t>
      </w:r>
      <w:r w:rsidR="003C7743">
        <w:rPr>
          <w:rFonts w:asciiTheme="minorHAnsi" w:hAnsiTheme="minorHAnsi"/>
          <w:i/>
          <w:sz w:val="22"/>
          <w:lang w:val="it-IT"/>
        </w:rPr>
        <w:t>ND</w:t>
      </w:r>
      <w:r w:rsidR="003C7743" w:rsidRPr="003C7743">
        <w:rPr>
          <w:rFonts w:asciiTheme="minorHAnsi" w:hAnsiTheme="minorHAnsi"/>
          <w:i/>
          <w:sz w:val="22"/>
          <w:lang w:val="it-IT"/>
        </w:rPr>
        <w:t>e</w:t>
      </w:r>
      <w:r w:rsidR="003C7743">
        <w:rPr>
          <w:rFonts w:asciiTheme="minorHAnsi" w:hAnsiTheme="minorHAnsi"/>
          <w:i/>
          <w:sz w:val="22"/>
          <w:lang w:val="it-IT"/>
        </w:rPr>
        <w:t>A</w:t>
      </w:r>
      <w:proofErr w:type="spellEnd"/>
      <w:r w:rsidR="003C7743">
        <w:rPr>
          <w:rFonts w:asciiTheme="minorHAnsi" w:hAnsiTheme="minorHAnsi"/>
          <w:sz w:val="22"/>
          <w:lang w:val="it-IT"/>
        </w:rPr>
        <w:t xml:space="preserve"> e </w:t>
      </w:r>
      <w:proofErr w:type="spellStart"/>
      <w:r w:rsidR="00412B49">
        <w:rPr>
          <w:rFonts w:asciiTheme="minorHAnsi" w:hAnsiTheme="minorHAnsi"/>
          <w:i/>
          <w:sz w:val="22"/>
          <w:lang w:val="it-IT"/>
        </w:rPr>
        <w:t>Federasma</w:t>
      </w:r>
      <w:proofErr w:type="spellEnd"/>
      <w:r w:rsidR="00412B49">
        <w:rPr>
          <w:rFonts w:asciiTheme="minorHAnsi" w:hAnsiTheme="minorHAnsi"/>
          <w:i/>
          <w:sz w:val="22"/>
          <w:lang w:val="it-IT"/>
        </w:rPr>
        <w:t xml:space="preserve"> e Allergie-Federazione Italiana Pazienti Onlus. </w:t>
      </w:r>
      <w:r w:rsidR="003C7743" w:rsidRPr="003C7743">
        <w:rPr>
          <w:rFonts w:asciiTheme="minorHAnsi" w:hAnsiTheme="minorHAnsi"/>
          <w:sz w:val="22"/>
          <w:lang w:val="it-IT"/>
        </w:rPr>
        <w:t xml:space="preserve"> </w:t>
      </w:r>
      <w:r w:rsidR="003C7743" w:rsidRPr="003C7743">
        <w:rPr>
          <w:rFonts w:asciiTheme="minorHAnsi" w:hAnsiTheme="minorHAnsi"/>
          <w:bCs/>
          <w:sz w:val="22"/>
          <w:lang w:val="it-IT"/>
        </w:rPr>
        <w:t>L’Osservatorio Atopia</w:t>
      </w:r>
      <w:r w:rsidRPr="00D25157">
        <w:rPr>
          <w:rFonts w:asciiTheme="minorHAnsi" w:hAnsiTheme="minorHAnsi"/>
          <w:sz w:val="22"/>
          <w:lang w:val="it-IT"/>
        </w:rPr>
        <w:t xml:space="preserve"> nasce con l’obiettivo di raccogliere dati utili e fornire indicazioni </w:t>
      </w:r>
      <w:r w:rsidR="00A9028D">
        <w:rPr>
          <w:rFonts w:asciiTheme="minorHAnsi" w:hAnsiTheme="minorHAnsi"/>
          <w:sz w:val="22"/>
          <w:lang w:val="it-IT"/>
        </w:rPr>
        <w:t>a</w:t>
      </w:r>
      <w:r w:rsidRPr="00D25157">
        <w:rPr>
          <w:rFonts w:asciiTheme="minorHAnsi" w:hAnsiTheme="minorHAnsi"/>
          <w:sz w:val="22"/>
          <w:lang w:val="it-IT"/>
        </w:rPr>
        <w:t xml:space="preserve"> un corretto inquadramento dell’atopia da un punto di vista scientifico e sociosanitario per lo sviluppo di adeguate politiche per la gestione dell’atopia e la riduzione del suo impatto socioeconomico.</w:t>
      </w:r>
    </w:p>
    <w:p w:rsidR="00D25157" w:rsidRPr="00D25157" w:rsidRDefault="00D25157" w:rsidP="00D25157">
      <w:pPr>
        <w:rPr>
          <w:rFonts w:asciiTheme="minorHAnsi" w:hAnsiTheme="minorHAnsi"/>
          <w:sz w:val="22"/>
          <w:lang w:val="it-IT"/>
        </w:rPr>
      </w:pPr>
    </w:p>
    <w:p w:rsidR="00D25157" w:rsidRPr="00D25157" w:rsidRDefault="00D25157" w:rsidP="00D25157">
      <w:pPr>
        <w:rPr>
          <w:rFonts w:asciiTheme="minorHAnsi" w:hAnsiTheme="minorHAnsi"/>
          <w:sz w:val="22"/>
          <w:lang w:val="it-IT"/>
        </w:rPr>
      </w:pPr>
      <w:r w:rsidRPr="00D25157">
        <w:rPr>
          <w:rFonts w:asciiTheme="minorHAnsi" w:hAnsiTheme="minorHAnsi"/>
          <w:sz w:val="22"/>
          <w:lang w:val="it-IT"/>
        </w:rPr>
        <w:t xml:space="preserve">La più recente ricerca scientifica ha messo in luce il ruolo svolto dalla genetica e dai fattori ambientali all’interno dei meccanismi biologici che danno luogo alla cosiddetta </w:t>
      </w:r>
      <w:r w:rsidR="00A9028D">
        <w:rPr>
          <w:rFonts w:asciiTheme="minorHAnsi" w:hAnsiTheme="minorHAnsi"/>
          <w:b/>
          <w:bCs/>
          <w:sz w:val="22"/>
          <w:lang w:val="it-IT"/>
        </w:rPr>
        <w:t>“</w:t>
      </w:r>
      <w:r w:rsidRPr="00D25157">
        <w:rPr>
          <w:rFonts w:asciiTheme="minorHAnsi" w:hAnsiTheme="minorHAnsi"/>
          <w:b/>
          <w:bCs/>
          <w:sz w:val="22"/>
          <w:lang w:val="it-IT"/>
        </w:rPr>
        <w:t>marcia atopica</w:t>
      </w:r>
      <w:r w:rsidR="00A9028D">
        <w:rPr>
          <w:rFonts w:asciiTheme="minorHAnsi" w:hAnsiTheme="minorHAnsi"/>
          <w:b/>
          <w:bCs/>
          <w:sz w:val="22"/>
          <w:lang w:val="it-IT"/>
        </w:rPr>
        <w:t>”</w:t>
      </w:r>
      <w:r w:rsidR="00D96E55">
        <w:rPr>
          <w:rFonts w:asciiTheme="minorHAnsi" w:hAnsiTheme="minorHAnsi"/>
          <w:sz w:val="22"/>
          <w:lang w:val="it-IT"/>
        </w:rPr>
        <w:t xml:space="preserve"> termine che descrive il decorso delle malattie atopiche nel paziente.</w:t>
      </w:r>
      <w:r w:rsidR="003D5878">
        <w:rPr>
          <w:rFonts w:asciiTheme="minorHAnsi" w:hAnsiTheme="minorHAnsi"/>
          <w:sz w:val="22"/>
          <w:lang w:val="it-IT"/>
        </w:rPr>
        <w:t xml:space="preserve"> </w:t>
      </w:r>
      <w:r w:rsidR="00D96E55" w:rsidRPr="00E547B9">
        <w:rPr>
          <w:rFonts w:asciiTheme="minorHAnsi" w:hAnsiTheme="minorHAnsi"/>
          <w:sz w:val="22"/>
          <w:lang w:val="it-IT"/>
        </w:rPr>
        <w:t xml:space="preserve">Le persone che manifestano questo tipo di reazione atopica hanno, infatti, un rischio aumentato di sviluppare una o più malattie atopiche </w:t>
      </w:r>
      <w:r w:rsidR="00B200A8">
        <w:rPr>
          <w:rFonts w:asciiTheme="minorHAnsi" w:hAnsiTheme="minorHAnsi"/>
          <w:sz w:val="22"/>
          <w:lang w:val="it-IT"/>
        </w:rPr>
        <w:t xml:space="preserve">nel corso della vita </w:t>
      </w:r>
      <w:r w:rsidR="00D96E55" w:rsidRPr="00E547B9">
        <w:rPr>
          <w:rFonts w:asciiTheme="minorHAnsi" w:hAnsiTheme="minorHAnsi"/>
          <w:sz w:val="22"/>
          <w:lang w:val="it-IT"/>
        </w:rPr>
        <w:t xml:space="preserve">quali per l’appunto dermatite atopica, asma, </w:t>
      </w:r>
      <w:proofErr w:type="spellStart"/>
      <w:r w:rsidR="00D96E55" w:rsidRPr="00E547B9">
        <w:rPr>
          <w:rFonts w:asciiTheme="minorHAnsi" w:hAnsiTheme="minorHAnsi"/>
          <w:sz w:val="22"/>
          <w:lang w:val="it-IT"/>
        </w:rPr>
        <w:t>rinocongiuntivite</w:t>
      </w:r>
      <w:proofErr w:type="spellEnd"/>
      <w:r w:rsidR="00D96E55" w:rsidRPr="00E547B9">
        <w:rPr>
          <w:rFonts w:asciiTheme="minorHAnsi" w:hAnsiTheme="minorHAnsi"/>
          <w:sz w:val="22"/>
          <w:lang w:val="it-IT"/>
        </w:rPr>
        <w:t xml:space="preserve">, ma anche allergie alimentari, poliposi nasale ed esofagite eosinofila. Si tratta di patologie diversissime tra loro, </w:t>
      </w:r>
      <w:r w:rsidR="00E547B9" w:rsidRPr="00E547B9">
        <w:rPr>
          <w:rFonts w:asciiTheme="minorHAnsi" w:hAnsiTheme="minorHAnsi"/>
          <w:sz w:val="22"/>
          <w:lang w:val="it-IT"/>
        </w:rPr>
        <w:t>oggi messe in correlazione</w:t>
      </w:r>
      <w:r w:rsidR="00D96E55" w:rsidRPr="00E547B9">
        <w:rPr>
          <w:rFonts w:asciiTheme="minorHAnsi" w:hAnsiTheme="minorHAnsi"/>
          <w:sz w:val="22"/>
          <w:lang w:val="it-IT"/>
        </w:rPr>
        <w:t xml:space="preserve"> da un unico comune denominatore: la tendenza ereditaria a produrre specifici anticorpi, denominati immunoglobuline E (</w:t>
      </w:r>
      <w:proofErr w:type="spellStart"/>
      <w:r w:rsidR="00D96E55" w:rsidRPr="00E547B9">
        <w:rPr>
          <w:rFonts w:asciiTheme="minorHAnsi" w:hAnsiTheme="minorHAnsi"/>
          <w:sz w:val="22"/>
          <w:lang w:val="it-IT"/>
        </w:rPr>
        <w:t>IgE</w:t>
      </w:r>
      <w:proofErr w:type="spellEnd"/>
      <w:r w:rsidR="00D96E55" w:rsidRPr="00E547B9">
        <w:rPr>
          <w:rFonts w:asciiTheme="minorHAnsi" w:hAnsiTheme="minorHAnsi"/>
          <w:sz w:val="22"/>
          <w:lang w:val="it-IT"/>
        </w:rPr>
        <w:t>), come risposta del sistema immunitario a minime quantità di allergeni.</w:t>
      </w:r>
      <w:r w:rsidR="00E547B9">
        <w:rPr>
          <w:rFonts w:asciiTheme="minorHAnsi" w:hAnsiTheme="minorHAnsi"/>
          <w:sz w:val="22"/>
          <w:lang w:val="it-IT"/>
        </w:rPr>
        <w:t xml:space="preserve"> </w:t>
      </w:r>
      <w:r w:rsidRPr="00D25157">
        <w:rPr>
          <w:rFonts w:asciiTheme="minorHAnsi" w:hAnsiTheme="minorHAnsi"/>
          <w:b/>
          <w:bCs/>
          <w:sz w:val="22"/>
          <w:lang w:val="it-IT"/>
        </w:rPr>
        <w:t xml:space="preserve">Strategie di intervento precoce e appropriato </w:t>
      </w:r>
      <w:r w:rsidRPr="00D25157">
        <w:rPr>
          <w:rFonts w:asciiTheme="minorHAnsi" w:hAnsiTheme="minorHAnsi"/>
          <w:sz w:val="22"/>
          <w:lang w:val="it-IT"/>
        </w:rPr>
        <w:t>possono fare la differenza per la salute delle persone e per i costi associati alle patologie collegate.</w:t>
      </w:r>
    </w:p>
    <w:p w:rsidR="00D25157" w:rsidRPr="00D25157" w:rsidRDefault="00D25157" w:rsidP="00D25157">
      <w:pPr>
        <w:rPr>
          <w:rFonts w:asciiTheme="minorHAnsi" w:hAnsiTheme="minorHAnsi"/>
          <w:sz w:val="22"/>
          <w:lang w:val="it-IT"/>
        </w:rPr>
      </w:pPr>
    </w:p>
    <w:p w:rsidR="00D25157" w:rsidRPr="00D25157" w:rsidRDefault="00D25157" w:rsidP="00D25157">
      <w:pPr>
        <w:rPr>
          <w:rFonts w:asciiTheme="minorHAnsi" w:hAnsiTheme="minorHAnsi"/>
          <w:b/>
          <w:bCs/>
          <w:sz w:val="22"/>
          <w:lang w:val="it-IT"/>
        </w:rPr>
      </w:pPr>
      <w:r w:rsidRPr="00D25157">
        <w:rPr>
          <w:rFonts w:asciiTheme="minorHAnsi" w:hAnsiTheme="minorHAnsi"/>
          <w:sz w:val="22"/>
          <w:lang w:val="it-IT"/>
        </w:rPr>
        <w:t xml:space="preserve">Mancano però </w:t>
      </w:r>
      <w:r w:rsidR="00A9028D">
        <w:rPr>
          <w:rFonts w:asciiTheme="minorHAnsi" w:hAnsiTheme="minorHAnsi"/>
          <w:sz w:val="22"/>
          <w:lang w:val="it-IT"/>
        </w:rPr>
        <w:t xml:space="preserve">oggi </w:t>
      </w:r>
      <w:r w:rsidRPr="00D25157">
        <w:rPr>
          <w:rFonts w:asciiTheme="minorHAnsi" w:hAnsiTheme="minorHAnsi"/>
          <w:sz w:val="22"/>
          <w:lang w:val="it-IT"/>
        </w:rPr>
        <w:t xml:space="preserve">dati e analisi che possano consentire un </w:t>
      </w:r>
      <w:r w:rsidRPr="00D25157">
        <w:rPr>
          <w:rFonts w:asciiTheme="minorHAnsi" w:hAnsiTheme="minorHAnsi"/>
          <w:b/>
          <w:bCs/>
          <w:sz w:val="22"/>
          <w:lang w:val="it-IT"/>
        </w:rPr>
        <w:t xml:space="preserve">processo di </w:t>
      </w:r>
      <w:proofErr w:type="spellStart"/>
      <w:r w:rsidRPr="00D25157">
        <w:rPr>
          <w:rFonts w:asciiTheme="minorHAnsi" w:hAnsiTheme="minorHAnsi"/>
          <w:b/>
          <w:bCs/>
          <w:i/>
          <w:iCs/>
          <w:sz w:val="22"/>
          <w:lang w:val="it-IT"/>
        </w:rPr>
        <w:t>decision</w:t>
      </w:r>
      <w:proofErr w:type="spellEnd"/>
      <w:r w:rsidRPr="00D25157">
        <w:rPr>
          <w:rFonts w:asciiTheme="minorHAnsi" w:hAnsiTheme="minorHAnsi"/>
          <w:b/>
          <w:bCs/>
          <w:i/>
          <w:iCs/>
          <w:sz w:val="22"/>
          <w:lang w:val="it-IT"/>
        </w:rPr>
        <w:t xml:space="preserve"> </w:t>
      </w:r>
      <w:proofErr w:type="spellStart"/>
      <w:r w:rsidRPr="00D25157">
        <w:rPr>
          <w:rFonts w:asciiTheme="minorHAnsi" w:hAnsiTheme="minorHAnsi"/>
          <w:b/>
          <w:bCs/>
          <w:i/>
          <w:iCs/>
          <w:sz w:val="22"/>
          <w:lang w:val="it-IT"/>
        </w:rPr>
        <w:t>making</w:t>
      </w:r>
      <w:proofErr w:type="spellEnd"/>
      <w:r w:rsidRPr="00D25157">
        <w:rPr>
          <w:rFonts w:asciiTheme="minorHAnsi" w:hAnsiTheme="minorHAnsi"/>
          <w:b/>
          <w:bCs/>
          <w:i/>
          <w:iCs/>
          <w:sz w:val="22"/>
          <w:lang w:val="it-IT"/>
        </w:rPr>
        <w:t xml:space="preserve"> </w:t>
      </w:r>
      <w:r w:rsidRPr="00D25157">
        <w:rPr>
          <w:rFonts w:asciiTheme="minorHAnsi" w:hAnsiTheme="minorHAnsi"/>
          <w:b/>
          <w:bCs/>
          <w:sz w:val="22"/>
          <w:lang w:val="it-IT"/>
        </w:rPr>
        <w:t xml:space="preserve">informato. </w:t>
      </w:r>
    </w:p>
    <w:p w:rsidR="00D25157" w:rsidRDefault="00D25157" w:rsidP="00D525EB">
      <w:pPr>
        <w:rPr>
          <w:rFonts w:asciiTheme="minorHAnsi" w:hAnsiTheme="minorHAnsi"/>
          <w:sz w:val="22"/>
          <w:lang w:val="it-IT"/>
        </w:rPr>
      </w:pPr>
      <w:r w:rsidRPr="00D25157">
        <w:rPr>
          <w:rFonts w:asciiTheme="minorHAnsi" w:hAnsiTheme="minorHAnsi"/>
          <w:sz w:val="22"/>
          <w:lang w:val="it-IT"/>
        </w:rPr>
        <w:t xml:space="preserve">Considerata quindi la </w:t>
      </w:r>
      <w:r w:rsidRPr="00D25157">
        <w:rPr>
          <w:rFonts w:asciiTheme="minorHAnsi" w:hAnsiTheme="minorHAnsi"/>
          <w:b/>
          <w:bCs/>
          <w:sz w:val="22"/>
          <w:lang w:val="it-IT"/>
        </w:rPr>
        <w:t xml:space="preserve">scarsa disponibilità di conoscenze </w:t>
      </w:r>
      <w:r w:rsidRPr="00D25157">
        <w:rPr>
          <w:rFonts w:asciiTheme="minorHAnsi" w:hAnsiTheme="minorHAnsi"/>
          <w:sz w:val="22"/>
          <w:lang w:val="it-IT"/>
        </w:rPr>
        <w:t xml:space="preserve">relative all’impatto dell’atopia sulla popolazione italiana, </w:t>
      </w:r>
      <w:r w:rsidRPr="00D25157">
        <w:rPr>
          <w:rFonts w:asciiTheme="minorHAnsi" w:hAnsiTheme="minorHAnsi"/>
          <w:b/>
          <w:bCs/>
          <w:sz w:val="22"/>
          <w:lang w:val="it-IT"/>
        </w:rPr>
        <w:t>l’Osservatorio Atopia</w:t>
      </w:r>
      <w:r w:rsidRPr="00D25157">
        <w:rPr>
          <w:rFonts w:asciiTheme="minorHAnsi" w:hAnsiTheme="minorHAnsi"/>
          <w:sz w:val="22"/>
          <w:lang w:val="it-IT"/>
        </w:rPr>
        <w:t xml:space="preserve"> si propone di offrire, grazie al </w:t>
      </w:r>
      <w:r w:rsidRPr="00D25157">
        <w:rPr>
          <w:rFonts w:asciiTheme="minorHAnsi" w:hAnsiTheme="minorHAnsi"/>
          <w:b/>
          <w:bCs/>
          <w:sz w:val="22"/>
          <w:lang w:val="it-IT"/>
        </w:rPr>
        <w:t>contributo incondizionato</w:t>
      </w:r>
      <w:r w:rsidRPr="00D25157">
        <w:rPr>
          <w:rFonts w:asciiTheme="minorHAnsi" w:hAnsiTheme="minorHAnsi"/>
          <w:sz w:val="22"/>
          <w:lang w:val="it-IT"/>
        </w:rPr>
        <w:t xml:space="preserve"> offerto da Sanofi Genzyme, un parere indipendente e autorevole, finalizzato a</w:t>
      </w:r>
      <w:r w:rsidR="00D525EB">
        <w:rPr>
          <w:rFonts w:asciiTheme="minorHAnsi" w:hAnsiTheme="minorHAnsi"/>
          <w:sz w:val="22"/>
          <w:lang w:val="it-IT"/>
        </w:rPr>
        <w:t xml:space="preserve"> f</w:t>
      </w:r>
      <w:r w:rsidRPr="00102937">
        <w:rPr>
          <w:rFonts w:asciiTheme="minorHAnsi" w:hAnsiTheme="minorHAnsi"/>
          <w:sz w:val="22"/>
          <w:lang w:val="it-IT"/>
        </w:rPr>
        <w:t>ornire indicazioni utili a un corretto inquadramento dell’atopia da un punto di vista scientifico e sociosanitario</w:t>
      </w:r>
      <w:r w:rsidR="00102937" w:rsidRPr="00102937">
        <w:rPr>
          <w:rFonts w:asciiTheme="minorHAnsi" w:hAnsiTheme="minorHAnsi"/>
          <w:sz w:val="22"/>
          <w:lang w:val="it-IT"/>
        </w:rPr>
        <w:t xml:space="preserve"> e </w:t>
      </w:r>
      <w:r w:rsidR="00102937">
        <w:rPr>
          <w:rFonts w:asciiTheme="minorHAnsi" w:hAnsiTheme="minorHAnsi"/>
          <w:sz w:val="22"/>
          <w:lang w:val="it-IT"/>
        </w:rPr>
        <w:t>a</w:t>
      </w:r>
      <w:r w:rsidRPr="00102937">
        <w:rPr>
          <w:rFonts w:asciiTheme="minorHAnsi" w:hAnsiTheme="minorHAnsi"/>
          <w:sz w:val="22"/>
          <w:lang w:val="it-IT"/>
        </w:rPr>
        <w:t>prire un dibattito con istituzioni e opinione pubblica</w:t>
      </w:r>
      <w:r w:rsidR="00102937">
        <w:rPr>
          <w:rFonts w:asciiTheme="minorHAnsi" w:hAnsiTheme="minorHAnsi"/>
          <w:sz w:val="22"/>
          <w:lang w:val="it-IT"/>
        </w:rPr>
        <w:t>.</w:t>
      </w:r>
    </w:p>
    <w:p w:rsidR="00D525EB" w:rsidRPr="00D25157" w:rsidRDefault="00D525EB" w:rsidP="00D525EB">
      <w:pPr>
        <w:rPr>
          <w:rFonts w:asciiTheme="minorHAnsi" w:hAnsiTheme="minorHAnsi"/>
          <w:sz w:val="22"/>
          <w:lang w:val="it-IT"/>
        </w:rPr>
      </w:pPr>
      <w:bookmarkStart w:id="0" w:name="_GoBack"/>
      <w:bookmarkEnd w:id="0"/>
    </w:p>
    <w:p w:rsidR="005B6D1D" w:rsidRPr="005B6D1D" w:rsidRDefault="005B6D1D" w:rsidP="00412B49">
      <w:pPr>
        <w:rPr>
          <w:rFonts w:asciiTheme="minorHAnsi" w:hAnsiTheme="minorHAnsi"/>
          <w:sz w:val="22"/>
          <w:lang w:val="it-IT"/>
        </w:rPr>
      </w:pPr>
      <w:r>
        <w:rPr>
          <w:rFonts w:asciiTheme="minorHAnsi" w:hAnsiTheme="minorHAnsi"/>
          <w:sz w:val="22"/>
          <w:lang w:val="it-IT"/>
        </w:rPr>
        <w:t>Le</w:t>
      </w:r>
      <w:r w:rsidRPr="00D25157">
        <w:rPr>
          <w:rFonts w:asciiTheme="minorHAnsi" w:hAnsiTheme="minorHAnsi"/>
          <w:sz w:val="22"/>
          <w:lang w:val="it-IT"/>
        </w:rPr>
        <w:t xml:space="preserve"> informazioni e </w:t>
      </w:r>
      <w:r w:rsidR="00A9028D">
        <w:rPr>
          <w:rFonts w:asciiTheme="minorHAnsi" w:hAnsiTheme="minorHAnsi"/>
          <w:sz w:val="22"/>
          <w:lang w:val="it-IT"/>
        </w:rPr>
        <w:t xml:space="preserve">i </w:t>
      </w:r>
      <w:r w:rsidRPr="00D25157">
        <w:rPr>
          <w:rFonts w:asciiTheme="minorHAnsi" w:hAnsiTheme="minorHAnsi"/>
          <w:sz w:val="22"/>
          <w:lang w:val="it-IT"/>
        </w:rPr>
        <w:t xml:space="preserve">documenti </w:t>
      </w:r>
      <w:r>
        <w:rPr>
          <w:rFonts w:asciiTheme="minorHAnsi" w:hAnsiTheme="minorHAnsi"/>
          <w:sz w:val="22"/>
          <w:lang w:val="it-IT"/>
        </w:rPr>
        <w:t xml:space="preserve">raccolti e prodotti </w:t>
      </w:r>
      <w:r>
        <w:rPr>
          <w:rFonts w:asciiTheme="minorHAnsi" w:hAnsiTheme="minorHAnsi"/>
          <w:b/>
          <w:bCs/>
          <w:sz w:val="22"/>
          <w:lang w:val="it-IT"/>
        </w:rPr>
        <w:t>dal g</w:t>
      </w:r>
      <w:r w:rsidRPr="00D25157">
        <w:rPr>
          <w:rFonts w:asciiTheme="minorHAnsi" w:hAnsiTheme="minorHAnsi"/>
          <w:b/>
          <w:bCs/>
          <w:sz w:val="22"/>
          <w:lang w:val="it-IT"/>
        </w:rPr>
        <w:t xml:space="preserve">ruppo </w:t>
      </w:r>
      <w:r>
        <w:rPr>
          <w:rFonts w:asciiTheme="minorHAnsi" w:hAnsiTheme="minorHAnsi"/>
          <w:b/>
          <w:bCs/>
          <w:sz w:val="22"/>
          <w:lang w:val="it-IT"/>
        </w:rPr>
        <w:t>m</w:t>
      </w:r>
      <w:r w:rsidRPr="00D25157">
        <w:rPr>
          <w:rFonts w:asciiTheme="minorHAnsi" w:hAnsiTheme="minorHAnsi"/>
          <w:b/>
          <w:bCs/>
          <w:sz w:val="22"/>
          <w:lang w:val="it-IT"/>
        </w:rPr>
        <w:t xml:space="preserve">ultidisciplinare </w:t>
      </w:r>
      <w:r w:rsidRPr="0019143B">
        <w:rPr>
          <w:rFonts w:asciiTheme="minorHAnsi" w:hAnsiTheme="minorHAnsi"/>
          <w:bCs/>
          <w:sz w:val="22"/>
          <w:lang w:val="it-IT"/>
        </w:rPr>
        <w:t>che compone</w:t>
      </w:r>
      <w:r>
        <w:rPr>
          <w:rFonts w:asciiTheme="minorHAnsi" w:hAnsiTheme="minorHAnsi"/>
          <w:b/>
          <w:bCs/>
          <w:sz w:val="22"/>
          <w:lang w:val="it-IT"/>
        </w:rPr>
        <w:t xml:space="preserve"> l</w:t>
      </w:r>
      <w:r w:rsidRPr="00D25157">
        <w:rPr>
          <w:rFonts w:asciiTheme="minorHAnsi" w:hAnsiTheme="minorHAnsi"/>
          <w:b/>
          <w:bCs/>
          <w:sz w:val="22"/>
          <w:lang w:val="it-IT"/>
        </w:rPr>
        <w:t xml:space="preserve">’Osservatorio Atopia, </w:t>
      </w:r>
      <w:r>
        <w:rPr>
          <w:rFonts w:asciiTheme="minorHAnsi" w:hAnsiTheme="minorHAnsi"/>
          <w:sz w:val="22"/>
          <w:lang w:val="it-IT"/>
        </w:rPr>
        <w:t xml:space="preserve">saranno </w:t>
      </w:r>
      <w:r w:rsidR="007B7FDD">
        <w:rPr>
          <w:rFonts w:asciiTheme="minorHAnsi" w:hAnsiTheme="minorHAnsi"/>
          <w:sz w:val="22"/>
          <w:lang w:val="it-IT"/>
        </w:rPr>
        <w:t xml:space="preserve">prossimamente </w:t>
      </w:r>
      <w:r w:rsidR="00102937">
        <w:rPr>
          <w:rFonts w:asciiTheme="minorHAnsi" w:hAnsiTheme="minorHAnsi"/>
          <w:sz w:val="22"/>
          <w:lang w:val="it-IT"/>
        </w:rPr>
        <w:t xml:space="preserve">resi </w:t>
      </w:r>
      <w:r>
        <w:rPr>
          <w:rFonts w:asciiTheme="minorHAnsi" w:hAnsiTheme="minorHAnsi"/>
          <w:sz w:val="22"/>
          <w:lang w:val="it-IT"/>
        </w:rPr>
        <w:t xml:space="preserve">fruibili e disponibili </w:t>
      </w:r>
      <w:r w:rsidR="007B7FDD">
        <w:rPr>
          <w:rFonts w:asciiTheme="minorHAnsi" w:hAnsiTheme="minorHAnsi"/>
          <w:sz w:val="22"/>
          <w:lang w:val="it-IT"/>
        </w:rPr>
        <w:t xml:space="preserve">ai decisori e </w:t>
      </w:r>
      <w:r>
        <w:rPr>
          <w:rFonts w:asciiTheme="minorHAnsi" w:hAnsiTheme="minorHAnsi"/>
          <w:sz w:val="22"/>
          <w:lang w:val="it-IT"/>
        </w:rPr>
        <w:t>al pubblico</w:t>
      </w:r>
      <w:r w:rsidR="00102937">
        <w:rPr>
          <w:rFonts w:asciiTheme="minorHAnsi" w:hAnsiTheme="minorHAnsi"/>
          <w:sz w:val="22"/>
          <w:lang w:val="it-IT"/>
        </w:rPr>
        <w:t>, su un sito web dedicato.</w:t>
      </w:r>
      <w:r>
        <w:rPr>
          <w:rFonts w:asciiTheme="minorHAnsi" w:hAnsiTheme="minorHAnsi"/>
          <w:sz w:val="22"/>
          <w:lang w:val="it-IT"/>
        </w:rPr>
        <w:t xml:space="preserve"> </w:t>
      </w:r>
    </w:p>
    <w:sectPr w:rsidR="005B6D1D" w:rsidRPr="005B6D1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D03" w:rsidRDefault="00F05D03" w:rsidP="00F05D03">
      <w:r>
        <w:separator/>
      </w:r>
    </w:p>
  </w:endnote>
  <w:endnote w:type="continuationSeparator" w:id="0">
    <w:p w:rsidR="00F05D03" w:rsidRDefault="00F05D03" w:rsidP="00F0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D03" w:rsidRDefault="00F05D03" w:rsidP="00F05D03">
      <w:r>
        <w:separator/>
      </w:r>
    </w:p>
  </w:footnote>
  <w:footnote w:type="continuationSeparator" w:id="0">
    <w:p w:rsidR="00F05D03" w:rsidRDefault="00F05D03" w:rsidP="00F05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D03" w:rsidRDefault="00F05D03">
    <w:pPr>
      <w:pStyle w:val="Intestazione"/>
    </w:pPr>
    <w:r w:rsidRPr="00F05D03">
      <w:rPr>
        <w:rFonts w:ascii="Century Gothic" w:hAnsi="Century Gothic"/>
        <w:noProof/>
        <w:color w:val="800000"/>
        <w:sz w:val="32"/>
      </w:rPr>
      <w:drawing>
        <wp:anchor distT="0" distB="0" distL="114300" distR="114300" simplePos="0" relativeHeight="251658240" behindDoc="0" locked="0" layoutInCell="1" allowOverlap="1" wp14:anchorId="43315263">
          <wp:simplePos x="0" y="0"/>
          <wp:positionH relativeFrom="column">
            <wp:posOffset>5168265</wp:posOffset>
          </wp:positionH>
          <wp:positionV relativeFrom="paragraph">
            <wp:posOffset>-131191</wp:posOffset>
          </wp:positionV>
          <wp:extent cx="1184275" cy="1037590"/>
          <wp:effectExtent l="0" t="0" r="0" b="0"/>
          <wp:wrapThrough wrapText="bothSides">
            <wp:wrapPolygon edited="0">
              <wp:start x="0" y="0"/>
              <wp:lineTo x="0" y="21018"/>
              <wp:lineTo x="21195" y="21018"/>
              <wp:lineTo x="21195" y="0"/>
              <wp:lineTo x="0" y="0"/>
            </wp:wrapPolygon>
          </wp:wrapThrough>
          <wp:docPr id="5" name="Immagine 4">
            <a:extLst xmlns:a="http://schemas.openxmlformats.org/drawingml/2006/main">
              <a:ext uri="{FF2B5EF4-FFF2-40B4-BE49-F238E27FC236}">
                <a16:creationId xmlns:a16="http://schemas.microsoft.com/office/drawing/2014/main" id="{6AAE9C35-F338-480B-9D67-2C73076C22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id="{6AAE9C35-F338-480B-9D67-2C73076C22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47" t="13197" r="14512" b="14694"/>
                  <a:stretch/>
                </pic:blipFill>
                <pic:spPr>
                  <a:xfrm>
                    <a:off x="0" y="0"/>
                    <a:ext cx="1184275" cy="1037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223C7"/>
    <w:multiLevelType w:val="hybridMultilevel"/>
    <w:tmpl w:val="B36EF3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D7CFA"/>
    <w:multiLevelType w:val="hybridMultilevel"/>
    <w:tmpl w:val="8C82F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33B3A"/>
    <w:multiLevelType w:val="hybridMultilevel"/>
    <w:tmpl w:val="ACFE1756"/>
    <w:lvl w:ilvl="0" w:tplc="950EAD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022B2B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75EB9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E6E9D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0A9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AEE81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D2ACF7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46008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5A00A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157"/>
    <w:rsid w:val="00094D14"/>
    <w:rsid w:val="00102937"/>
    <w:rsid w:val="0019143B"/>
    <w:rsid w:val="003C7743"/>
    <w:rsid w:val="003D5878"/>
    <w:rsid w:val="00412B49"/>
    <w:rsid w:val="0056079A"/>
    <w:rsid w:val="005B6D1D"/>
    <w:rsid w:val="00711F57"/>
    <w:rsid w:val="00736130"/>
    <w:rsid w:val="007B7FDD"/>
    <w:rsid w:val="00A6106E"/>
    <w:rsid w:val="00A9028D"/>
    <w:rsid w:val="00B154B5"/>
    <w:rsid w:val="00B200A8"/>
    <w:rsid w:val="00BF2720"/>
    <w:rsid w:val="00C32810"/>
    <w:rsid w:val="00D25157"/>
    <w:rsid w:val="00D525EB"/>
    <w:rsid w:val="00D96E55"/>
    <w:rsid w:val="00E547B9"/>
    <w:rsid w:val="00EC4B57"/>
    <w:rsid w:val="00F05D03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6A2F"/>
  <w15:chartTrackingRefBased/>
  <w15:docId w15:val="{95262F8A-C7D4-4E07-90B1-F34469B9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515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515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5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D2515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157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157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D251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1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157"/>
    <w:rPr>
      <w:rFonts w:ascii="Segoe UI" w:eastAsiaTheme="minorEastAsia" w:hAnsi="Segoe UI" w:cs="Segoe UI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05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5D03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05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5D03"/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Liguori</dc:creator>
  <cp:keywords/>
  <dc:description/>
  <cp:lastModifiedBy>Paolo Pedemonte</cp:lastModifiedBy>
  <cp:revision>5</cp:revision>
  <cp:lastPrinted>2018-04-04T13:01:00Z</cp:lastPrinted>
  <dcterms:created xsi:type="dcterms:W3CDTF">2018-04-04T08:21:00Z</dcterms:created>
  <dcterms:modified xsi:type="dcterms:W3CDTF">2018-04-04T13:10:00Z</dcterms:modified>
</cp:coreProperties>
</file>